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7F" w:rsidRPr="0024007F" w:rsidRDefault="0024007F" w:rsidP="0024007F">
      <w:pPr>
        <w:rPr>
          <w:sz w:val="16"/>
          <w:szCs w:val="16"/>
        </w:rPr>
      </w:pPr>
      <w:proofErr w:type="gramStart"/>
      <w:r w:rsidRPr="0024007F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Pr="0024007F">
        <w:rPr>
          <w:rFonts w:hint="eastAsia"/>
          <w:color w:val="0070C0"/>
          <w:sz w:val="28"/>
          <w:szCs w:val="32"/>
          <w:u w:val="single"/>
        </w:rPr>
        <w:t>工系</w:t>
      </w:r>
      <w:r w:rsidRPr="0024007F">
        <w:rPr>
          <w:color w:val="0070C0"/>
          <w:sz w:val="28"/>
          <w:szCs w:val="32"/>
          <w:u w:val="single"/>
        </w:rPr>
        <w:t>大學部</w:t>
      </w:r>
      <w:r w:rsidRPr="0024007F">
        <w:rPr>
          <w:rFonts w:hint="eastAsia"/>
          <w:color w:val="0070C0"/>
          <w:sz w:val="28"/>
          <w:szCs w:val="32"/>
        </w:rPr>
        <w:t>課</w:t>
      </w:r>
      <w:r w:rsidRPr="0024007F">
        <w:rPr>
          <w:color w:val="0070C0"/>
          <w:sz w:val="28"/>
          <w:szCs w:val="32"/>
        </w:rPr>
        <w:t>程</w:t>
      </w:r>
      <w:r w:rsidRPr="0024007F">
        <w:rPr>
          <w:rFonts w:hint="eastAsia"/>
          <w:color w:val="0070C0"/>
          <w:sz w:val="28"/>
          <w:szCs w:val="32"/>
        </w:rPr>
        <w:t>：</w:t>
      </w:r>
      <w:r w:rsidRPr="0024007F">
        <w:rPr>
          <w:rFonts w:hint="eastAsia"/>
          <w:color w:val="0070C0"/>
          <w:sz w:val="28"/>
          <w:szCs w:val="32"/>
        </w:rPr>
        <w:t>(110</w:t>
      </w:r>
      <w:r w:rsidRPr="0024007F">
        <w:rPr>
          <w:rFonts w:hint="eastAsia"/>
          <w:color w:val="0070C0"/>
          <w:sz w:val="28"/>
          <w:szCs w:val="32"/>
        </w:rPr>
        <w:t>學年入學適用</w:t>
      </w:r>
      <w:r w:rsidRPr="0024007F">
        <w:rPr>
          <w:rFonts w:hint="eastAsia"/>
          <w:color w:val="0070C0"/>
          <w:sz w:val="28"/>
          <w:szCs w:val="32"/>
        </w:rPr>
        <w:t>)</w:t>
      </w:r>
      <w:r w:rsidRPr="0024007F">
        <w:rPr>
          <w:rFonts w:hint="eastAsia"/>
          <w:color w:val="0070C0"/>
          <w:sz w:val="32"/>
          <w:szCs w:val="32"/>
        </w:rPr>
        <w:t xml:space="preserve"> </w:t>
      </w:r>
      <w:r w:rsidRPr="0024007F">
        <w:rPr>
          <w:kern w:val="0"/>
          <w:sz w:val="12"/>
          <w:szCs w:val="16"/>
        </w:rPr>
        <w:t>1</w:t>
      </w:r>
      <w:r w:rsidRPr="0024007F">
        <w:rPr>
          <w:rFonts w:hint="eastAsia"/>
          <w:kern w:val="0"/>
          <w:sz w:val="12"/>
          <w:szCs w:val="16"/>
        </w:rPr>
        <w:t>10</w:t>
      </w:r>
      <w:r w:rsidRPr="0024007F">
        <w:rPr>
          <w:kern w:val="0"/>
          <w:sz w:val="12"/>
          <w:szCs w:val="16"/>
        </w:rPr>
        <w:t>.</w:t>
      </w:r>
      <w:r w:rsidRPr="0024007F">
        <w:rPr>
          <w:rFonts w:hint="eastAsia"/>
          <w:kern w:val="0"/>
          <w:sz w:val="12"/>
          <w:szCs w:val="16"/>
        </w:rPr>
        <w:t>02</w:t>
      </w:r>
      <w:r w:rsidRPr="0024007F">
        <w:rPr>
          <w:kern w:val="0"/>
          <w:sz w:val="12"/>
          <w:szCs w:val="16"/>
        </w:rPr>
        <w:t>.</w:t>
      </w:r>
      <w:r w:rsidRPr="0024007F">
        <w:rPr>
          <w:rFonts w:hint="eastAsia"/>
          <w:kern w:val="0"/>
          <w:sz w:val="12"/>
          <w:szCs w:val="16"/>
        </w:rPr>
        <w:t>09</w:t>
      </w:r>
      <w:r w:rsidRPr="0024007F">
        <w:rPr>
          <w:rFonts w:hint="eastAsia"/>
          <w:kern w:val="0"/>
          <w:sz w:val="12"/>
          <w:szCs w:val="16"/>
        </w:rPr>
        <w:t>課程委員會通過，</w:t>
      </w:r>
      <w:r w:rsidRPr="0024007F">
        <w:rPr>
          <w:rFonts w:hint="eastAsia"/>
          <w:kern w:val="0"/>
          <w:sz w:val="12"/>
          <w:szCs w:val="16"/>
        </w:rPr>
        <w:t>1</w:t>
      </w:r>
      <w:r w:rsidRPr="0024007F">
        <w:rPr>
          <w:kern w:val="0"/>
          <w:sz w:val="12"/>
          <w:szCs w:val="16"/>
        </w:rPr>
        <w:t>10.04.24</w:t>
      </w:r>
      <w:r w:rsidRPr="0024007F">
        <w:rPr>
          <w:rFonts w:hint="eastAsia"/>
          <w:kern w:val="0"/>
          <w:sz w:val="12"/>
          <w:szCs w:val="16"/>
        </w:rPr>
        <w:t>修訂</w:t>
      </w:r>
      <w:bookmarkStart w:id="0" w:name="_GoBack"/>
      <w:bookmarkEnd w:id="0"/>
      <w:r w:rsidRPr="0024007F">
        <w:rPr>
          <w:rFonts w:hint="eastAsia"/>
          <w:kern w:val="0"/>
          <w:sz w:val="12"/>
          <w:szCs w:val="16"/>
        </w:rPr>
        <w:t>，</w:t>
      </w:r>
      <w:r w:rsidRPr="0024007F">
        <w:rPr>
          <w:rFonts w:hint="eastAsia"/>
          <w:color w:val="FF0000"/>
          <w:kern w:val="0"/>
          <w:sz w:val="12"/>
          <w:szCs w:val="16"/>
        </w:rPr>
        <w:t>110.08.04</w:t>
      </w:r>
      <w:r w:rsidRPr="0024007F">
        <w:rPr>
          <w:rFonts w:hint="eastAsia"/>
          <w:color w:val="FF0000"/>
          <w:kern w:val="0"/>
          <w:sz w:val="12"/>
          <w:szCs w:val="16"/>
        </w:rPr>
        <w:t>修訂</w:t>
      </w:r>
      <w:r w:rsidRPr="0024007F">
        <w:rPr>
          <w:rFonts w:hint="eastAsia"/>
          <w:kern w:val="0"/>
          <w:sz w:val="12"/>
          <w:szCs w:val="16"/>
        </w:rPr>
        <w:t>依教務處公告為主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B318E"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浩澧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</w:t>
      </w:r>
      <w:proofErr w:type="gramStart"/>
      <w:r w:rsidRPr="0024007F">
        <w:rPr>
          <w:rFonts w:ascii="Calibri" w:hAnsi="Calibri" w:hint="eastAsia"/>
          <w:sz w:val="20"/>
          <w:szCs w:val="22"/>
        </w:rPr>
        <w:t>修習通識</w:t>
      </w:r>
      <w:proofErr w:type="gramEnd"/>
      <w:r w:rsidRPr="0024007F">
        <w:rPr>
          <w:rFonts w:ascii="Calibri" w:hAnsi="Calibri" w:hint="eastAsia"/>
          <w:sz w:val="20"/>
          <w:szCs w:val="22"/>
        </w:rPr>
        <w:t>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</w:t>
      </w:r>
      <w:proofErr w:type="gramStart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一</w:t>
      </w:r>
      <w:proofErr w:type="gramEnd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</w:t>
      </w:r>
      <w:proofErr w:type="gramStart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一</w:t>
      </w:r>
      <w:proofErr w:type="gramEnd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24007F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24007F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8"/>
        <w:gridCol w:w="1984"/>
        <w:gridCol w:w="3402"/>
        <w:gridCol w:w="2409"/>
        <w:gridCol w:w="2010"/>
      </w:tblGrid>
      <w:tr w:rsidR="0024007F" w:rsidRPr="0024007F" w:rsidTr="0024007F">
        <w:trPr>
          <w:trHeight w:val="359"/>
        </w:trPr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3B318E">
        <w:trPr>
          <w:trHeight w:val="109"/>
        </w:trPr>
        <w:tc>
          <w:tcPr>
            <w:tcW w:w="5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6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3B318E">
        <w:trPr>
          <w:trHeight w:val="769"/>
        </w:trPr>
        <w:tc>
          <w:tcPr>
            <w:tcW w:w="5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醫療儀器(3)</w:t>
            </w:r>
          </w:p>
          <w:p w:rsidR="0024007F" w:rsidRPr="0024007F" w:rsidRDefault="0024007F" w:rsidP="0024007F">
            <w:pPr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用超音波學(3)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24007F">
              <w:rPr>
                <w:rFonts w:ascii="新細明體" w:hAnsi="新細明體" w:cs="Arial" w:hint="eastAsia"/>
                <w:bCs/>
                <w:sz w:val="18"/>
                <w:szCs w:val="18"/>
              </w:rPr>
              <w:t>疾病導向之臨床與基礎科學跨領域課程</w:t>
            </w:r>
            <w:r w:rsidRPr="0024007F">
              <w:rPr>
                <w:rFonts w:ascii="細明體" w:eastAsia="細明體" w:hAnsi="細明體" w:cs="新細明體" w:hint="eastAsia"/>
                <w:b/>
                <w:kern w:val="0"/>
                <w:sz w:val="18"/>
                <w:szCs w:val="18"/>
              </w:rPr>
              <w:t>(3)</w:t>
            </w:r>
          </w:p>
        </w:tc>
      </w:tr>
      <w:tr w:rsidR="0024007F" w:rsidRPr="0024007F" w:rsidTr="0024007F">
        <w:trPr>
          <w:trHeight w:val="1045"/>
        </w:trPr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1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生物醫學材料概論(3) 再生醫學之原理與應用(2)</w:t>
            </w:r>
          </w:p>
        </w:tc>
      </w:tr>
      <w:tr w:rsidR="0024007F" w:rsidRPr="0024007F" w:rsidTr="0024007F">
        <w:trPr>
          <w:trHeight w:val="676"/>
        </w:trPr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人體神經肌肉骨骼生物力學(3)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</w:tc>
      </w:tr>
      <w:tr w:rsidR="0024007F" w:rsidRPr="0024007F" w:rsidTr="0024007F">
        <w:trPr>
          <w:trHeight w:val="1078"/>
        </w:trPr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醫用微感測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器(3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証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系統(3)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光電導論(3)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用電子系統設計(3)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感覺神經生理(3)</w:t>
            </w:r>
          </w:p>
        </w:tc>
      </w:tr>
      <w:tr w:rsidR="0024007F" w:rsidRPr="0024007F" w:rsidTr="003B318E">
        <w:trPr>
          <w:trHeight w:val="1483"/>
        </w:trPr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bCs/>
                <w:kern w:val="0"/>
                <w:sz w:val="18"/>
                <w:szCs w:val="18"/>
              </w:rPr>
              <w:t>深度學習在醫療影像分析上的應用</w:t>
            </w:r>
            <w:r w:rsidRPr="0024007F">
              <w:rPr>
                <w:rFonts w:ascii="細明體" w:eastAsia="細明體" w:hAnsi="細明體" w:cs="新細明體"/>
                <w:bCs/>
                <w:kern w:val="0"/>
                <w:sz w:val="18"/>
                <w:szCs w:val="18"/>
              </w:rPr>
              <w:t>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</w:tc>
        <w:tc>
          <w:tcPr>
            <w:tcW w:w="10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24007F">
        <w:rPr>
          <w:rFonts w:ascii="新細明體" w:hAnsi="新細明體" w:cs="Calibri" w:hint="eastAsia"/>
          <w:b/>
          <w:kern w:val="0"/>
        </w:rPr>
        <w:t>課程抵免：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24007F">
        <w:rPr>
          <w:rFonts w:ascii="新細明體" w:hAnsi="新細明體" w:cs="Calibri"/>
          <w:kern w:val="0"/>
          <w:sz w:val="18"/>
          <w:szCs w:val="18"/>
        </w:rPr>
        <w:t>82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24007F">
        <w:rPr>
          <w:rFonts w:ascii="新細明體" w:hAnsi="新細明體" w:cs="Calibri"/>
          <w:kern w:val="0"/>
          <w:sz w:val="18"/>
          <w:szCs w:val="18"/>
        </w:rPr>
        <w:t>A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24007F">
        <w:rPr>
          <w:rFonts w:ascii="新細明體" w:hAnsi="新細明體" w:cs="Calibri"/>
          <w:kern w:val="0"/>
          <w:sz w:val="18"/>
          <w:szCs w:val="18"/>
        </w:rPr>
        <w:t>3.7)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24007F">
        <w:rPr>
          <w:rFonts w:ascii="新細明體" w:hAnsi="新細明體" w:cs="Calibri"/>
          <w:kern w:val="0"/>
          <w:sz w:val="18"/>
          <w:szCs w:val="18"/>
        </w:rPr>
        <w:t>0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大綱至系辦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辦理。經開課教師審查後，本系課程委員會認定、教務處審核通過後准予抵免。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標楷體" w:eastAsia="標楷體" w:hAnsi="標楷體" w:cs="Arial"/>
          <w:bCs/>
          <w:color w:val="000000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通識學分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抵免由共同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教育中心審查，國文、英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24007F">
        <w:rPr>
          <w:rFonts w:ascii="新細明體" w:hAnsi="新細明體" w:cs="Calibri"/>
          <w:kern w:val="0"/>
          <w:sz w:val="18"/>
          <w:szCs w:val="18"/>
        </w:rPr>
        <w:t>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文及體育學分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抵免由開課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單位審核，服務學習學分抵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免由學務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處審查。</w:t>
      </w:r>
    </w:p>
    <w:p w:rsidR="0024007F" w:rsidRPr="0024007F" w:rsidRDefault="0024007F">
      <w:pPr>
        <w:rPr>
          <w:rFonts w:hint="eastAsia"/>
        </w:rPr>
      </w:pPr>
    </w:p>
    <w:sectPr w:rsidR="0024007F" w:rsidRPr="0024007F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51D" w:rsidRDefault="0014151D" w:rsidP="001C29AA">
      <w:r>
        <w:separator/>
      </w:r>
    </w:p>
  </w:endnote>
  <w:endnote w:type="continuationSeparator" w:id="0">
    <w:p w:rsidR="0014151D" w:rsidRDefault="0014151D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51D" w:rsidRDefault="0014151D" w:rsidP="001C29AA">
      <w:r>
        <w:separator/>
      </w:r>
    </w:p>
  </w:footnote>
  <w:footnote w:type="continuationSeparator" w:id="0">
    <w:p w:rsidR="0014151D" w:rsidRDefault="0014151D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4151D"/>
    <w:rsid w:val="001C29AA"/>
    <w:rsid w:val="0024007F"/>
    <w:rsid w:val="00546F29"/>
    <w:rsid w:val="006C6B9F"/>
    <w:rsid w:val="00B7673F"/>
    <w:rsid w:val="00D1330A"/>
    <w:rsid w:val="00D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5C4F4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3</cp:revision>
  <dcterms:created xsi:type="dcterms:W3CDTF">2021-09-28T00:19:00Z</dcterms:created>
  <dcterms:modified xsi:type="dcterms:W3CDTF">2021-09-28T00:19:00Z</dcterms:modified>
</cp:coreProperties>
</file>